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F14173">
      <w:pPr>
        <w:suppressAutoHyphens/>
        <w:kinsoku w:val="0"/>
        <w:autoSpaceDE w:val="0"/>
        <w:autoSpaceDN w:val="0"/>
        <w:spacing w:line="366" w:lineRule="atLeast"/>
        <w:ind w:right="960"/>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03A00D3F"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B6323F">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B6323F">
        <w:rPr>
          <w:rFonts w:ascii="ＭＳ ゴシック" w:eastAsia="ＭＳ ゴシック" w:hAnsi="ＭＳ ゴシック" w:hint="eastAsia"/>
          <w:color w:val="000000"/>
          <w:kern w:val="0"/>
        </w:rPr>
        <w:t>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417A24">
        <w:trPr>
          <w:trHeight w:val="11231"/>
        </w:trPr>
        <w:tc>
          <w:tcPr>
            <w:tcW w:w="9015" w:type="dxa"/>
            <w:tcBorders>
              <w:top w:val="single" w:sz="4" w:space="0" w:color="000000"/>
              <w:left w:val="single" w:sz="4" w:space="0" w:color="000000"/>
              <w:bottom w:val="single" w:sz="4" w:space="0" w:color="000000"/>
              <w:right w:val="single" w:sz="4" w:space="0" w:color="000000"/>
            </w:tcBorders>
          </w:tcPr>
          <w:p w14:paraId="146F0F1C" w14:textId="3404A948" w:rsidR="00ED4963" w:rsidRDefault="00ED4963" w:rsidP="00336D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B6323F">
              <w:rPr>
                <w:rFonts w:ascii="ＭＳ ゴシック" w:eastAsia="ＭＳ ゴシック" w:hAnsi="ＭＳ ゴシック" w:hint="eastAsia"/>
                <w:color w:val="000000"/>
                <w:kern w:val="0"/>
              </w:rPr>
              <w:t>ロ</w:t>
            </w:r>
            <w:r w:rsidR="00335ACF">
              <w:rPr>
                <w:rFonts w:ascii="ＭＳ ゴシック" w:eastAsia="ＭＳ ゴシック" w:hAnsi="ＭＳ ゴシック" w:hint="eastAsia"/>
                <w:color w:val="000000"/>
                <w:kern w:val="0"/>
              </w:rPr>
              <w:t>－</w:t>
            </w:r>
            <w:r w:rsidR="00B6323F">
              <w:rPr>
                <w:rFonts w:ascii="ＭＳ ゴシック" w:eastAsia="ＭＳ ゴシック" w:hAnsi="ＭＳ ゴシック" w:hint="eastAsia"/>
                <w:color w:val="000000"/>
                <w:kern w:val="0"/>
              </w:rPr>
              <w:t>①</w:t>
            </w:r>
            <w:r w:rsidR="00335ACF">
              <w:rPr>
                <w:rFonts w:ascii="ＭＳ ゴシック" w:eastAsia="ＭＳ ゴシック" w:hAnsi="ＭＳ ゴシック" w:hint="eastAsia"/>
                <w:color w:val="000000"/>
                <w:kern w:val="0"/>
              </w:rPr>
              <w:t>）</w:t>
            </w:r>
          </w:p>
          <w:p w14:paraId="03A35548" w14:textId="77777777" w:rsidR="00ED4963" w:rsidRPr="00B6323F"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62814B8D"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sidR="00435676">
              <w:rPr>
                <w:rFonts w:ascii="ＭＳ ゴシック" w:eastAsia="ＭＳ ゴシック" w:hAnsi="ＭＳ ゴシック" w:hint="eastAsia"/>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殿</w:t>
            </w:r>
          </w:p>
          <w:p w14:paraId="4A078DB8"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24ECFB7F" w14:textId="4FACA5F5" w:rsidR="00B6323F" w:rsidRPr="00B6323F"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B6323F" w:rsidRPr="00B6323F">
              <w:rPr>
                <w:rFonts w:ascii="ＭＳ ゴシック" w:eastAsia="ＭＳ ゴシック" w:hAnsi="ＭＳ ゴシック" w:hint="eastAsia"/>
                <w:color w:val="000000"/>
                <w:kern w:val="0"/>
                <w:u w:color="000000"/>
              </w:rPr>
              <w:t>主要原材料である</w:t>
            </w:r>
            <w:r w:rsidR="00B6323F">
              <w:rPr>
                <w:rFonts w:ascii="ＭＳ ゴシック" w:eastAsia="ＭＳ ゴシック" w:hAnsi="ＭＳ ゴシック" w:hint="eastAsia"/>
                <w:color w:val="000000"/>
                <w:kern w:val="0"/>
                <w:u w:color="000000"/>
              </w:rPr>
              <w:t>原油及び石油製品（以下「原油等」という。）の価格の上昇等により、経営の安定に支障が生じておりますので、中小企業信用保険法第２条第５項第５号の規定に基づき認定されるようお願いします。</w:t>
            </w:r>
          </w:p>
          <w:p w14:paraId="65851C35" w14:textId="77777777" w:rsidR="00ED4963" w:rsidRDefault="00ED4963" w:rsidP="00336DB2">
            <w:pPr>
              <w:pStyle w:val="ad"/>
              <w:spacing w:line="24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336D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336DB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336DB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79798FC8" w:rsidR="00574C50" w:rsidRDefault="00574C50" w:rsidP="00336DB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lang w:eastAsia="zh-TW"/>
              </w:rPr>
            </w:pPr>
            <w:r>
              <w:rPr>
                <w:rFonts w:ascii="ＭＳ ゴシック" w:eastAsia="ＭＳ ゴシック" w:hAnsi="ＭＳ ゴシック" w:hint="eastAsia"/>
                <w:color w:val="000000"/>
                <w:kern w:val="0"/>
                <w:lang w:eastAsia="zh-TW"/>
              </w:rPr>
              <w:t>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1B51EB48" w14:textId="242F1D0C" w:rsidR="00B6323F" w:rsidRDefault="00B6323F" w:rsidP="00336DB2">
            <w:pPr>
              <w:pStyle w:val="a5"/>
              <w:numPr>
                <w:ilvl w:val="0"/>
                <w:numId w:val="6"/>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原油等の仕入単価の上昇（注２）</w:t>
            </w:r>
          </w:p>
          <w:p w14:paraId="6E2CE352" w14:textId="75896B3E" w:rsidR="00B6323F" w:rsidRPr="00B6323F" w:rsidRDefault="00B6323F"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lang w:eastAsia="zh-TW"/>
              </w:rPr>
            </w:pPr>
            <w:r w:rsidRPr="00B6323F">
              <w:rPr>
                <w:rFonts w:ascii="ＭＳ ゴシック" w:eastAsia="ＭＳ ゴシック" w:hAnsi="ＭＳ ゴシック" w:hint="eastAsia"/>
                <w:color w:val="000000"/>
                <w:kern w:val="0"/>
                <w:u w:val="single"/>
                <w:lang w:eastAsia="zh-TW"/>
              </w:rPr>
              <w:t>Ｅ</w:t>
            </w:r>
          </w:p>
          <w:p w14:paraId="4F618183" w14:textId="0FEB983D" w:rsidR="00B6323F" w:rsidRDefault="00B6323F"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 xml:space="preserve">ｅ　　×100-100　　　　　　　　　　　　　　　　　　　　　　　</w:t>
            </w:r>
            <w:r w:rsidRPr="00B6323F">
              <w:rPr>
                <w:rFonts w:ascii="ＭＳ ゴシック" w:eastAsia="ＭＳ ゴシック" w:hAnsi="ＭＳ ゴシック" w:hint="eastAsia"/>
                <w:color w:val="000000"/>
                <w:kern w:val="0"/>
                <w:u w:val="single"/>
                <w:lang w:eastAsia="zh-TW"/>
              </w:rPr>
              <w:t>上昇率　　　　　　％</w:t>
            </w:r>
          </w:p>
          <w:p w14:paraId="06E8D520" w14:textId="636DB305" w:rsidR="00B6323F"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Ｅ：原油等の最近１か月間における平均仕入単価（　　年　　月） </w:t>
            </w:r>
            <w:r w:rsidRPr="00733C06">
              <w:rPr>
                <w:rFonts w:ascii="ＭＳ ゴシック" w:eastAsia="ＭＳ ゴシック" w:hAnsi="ＭＳ ゴシック" w:hint="eastAsia"/>
                <w:color w:val="000000"/>
                <w:kern w:val="0"/>
              </w:rPr>
              <w:t xml:space="preserve">　</w:t>
            </w:r>
            <w:r w:rsidRPr="00733C06">
              <w:rPr>
                <w:rFonts w:ascii="ＭＳ ゴシック" w:eastAsia="ＭＳ ゴシック" w:hAnsi="ＭＳ ゴシック" w:hint="eastAsia"/>
                <w:color w:val="000000"/>
                <w:kern w:val="0"/>
                <w:u w:val="single"/>
              </w:rPr>
              <w:t xml:space="preserve">　　　　円（注４）</w:t>
            </w:r>
          </w:p>
          <w:p w14:paraId="7C276E99" w14:textId="709AA3AE" w:rsidR="00733C06" w:rsidRPr="00B6323F"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sidRPr="00733C06">
              <w:rPr>
                <w:rFonts w:ascii="ＭＳ ゴシック" w:eastAsia="ＭＳ ゴシック" w:hAnsi="ＭＳ ゴシック" w:hint="eastAsia"/>
                <w:color w:val="000000"/>
                <w:kern w:val="0"/>
              </w:rPr>
              <w:t>ｅ：Ｅの期間に対応する前年１か月間の平均仕入単価（　　年　　月）</w:t>
            </w:r>
            <w:r>
              <w:rPr>
                <w:rFonts w:ascii="ＭＳ ゴシック" w:eastAsia="ＭＳ ゴシック" w:hAnsi="ＭＳ ゴシック" w:hint="eastAsia"/>
                <w:color w:val="000000"/>
                <w:kern w:val="0"/>
                <w:u w:val="single"/>
              </w:rPr>
              <w:t xml:space="preserve">　　　 円（注４）</w:t>
            </w:r>
          </w:p>
          <w:p w14:paraId="37D9ED73" w14:textId="3D28FECA" w:rsidR="00B6323F" w:rsidRDefault="00733C06" w:rsidP="00336DB2">
            <w:pPr>
              <w:pStyle w:val="a5"/>
              <w:numPr>
                <w:ilvl w:val="0"/>
                <w:numId w:val="6"/>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原油等が売上原価に占める割合（注２）</w:t>
            </w:r>
          </w:p>
          <w:p w14:paraId="20D992F7" w14:textId="1BE147B2" w:rsidR="00733C06" w:rsidRP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u w:val="single"/>
              </w:rPr>
            </w:pPr>
            <w:r w:rsidRPr="00733C06">
              <w:rPr>
                <w:rFonts w:ascii="ＭＳ ゴシック" w:eastAsia="ＭＳ ゴシック" w:hAnsi="ＭＳ ゴシック" w:hint="eastAsia"/>
                <w:color w:val="000000"/>
                <w:kern w:val="0"/>
                <w:u w:val="single"/>
              </w:rPr>
              <w:t>Ｓ</w:t>
            </w:r>
          </w:p>
          <w:p w14:paraId="00DFFF40" w14:textId="68CF23B2"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　　×100　　　　　　　　　　　　　　　　　　　　　　　　　</w:t>
            </w:r>
            <w:r w:rsidRPr="00733C06">
              <w:rPr>
                <w:rFonts w:ascii="ＭＳ ゴシック" w:eastAsia="ＭＳ ゴシック" w:hAnsi="ＭＳ ゴシック" w:hint="eastAsia"/>
                <w:color w:val="000000"/>
                <w:kern w:val="0"/>
                <w:u w:val="single"/>
              </w:rPr>
              <w:t>依存率　　　　　　％</w:t>
            </w:r>
          </w:p>
          <w:p w14:paraId="3073AF01" w14:textId="63BEF063"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Ｃ：最近１か月の売上原価（　　　年　　月）　　　　　　　　　　</w:t>
            </w:r>
            <w:r w:rsidRPr="00733C06">
              <w:rPr>
                <w:rFonts w:ascii="ＭＳ ゴシック" w:eastAsia="ＭＳ ゴシック" w:hAnsi="ＭＳ ゴシック" w:hint="eastAsia"/>
                <w:color w:val="000000"/>
                <w:kern w:val="0"/>
                <w:u w:val="single"/>
              </w:rPr>
              <w:t xml:space="preserve">　　　　 円（注４）</w:t>
            </w:r>
          </w:p>
          <w:p w14:paraId="687411D3" w14:textId="74E78C3B" w:rsidR="00733C06" w:rsidRP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Ｓ：Ｃの売上原価に対応する原油等の仕入額　　　　　　　　　　　</w:t>
            </w:r>
            <w:r w:rsidRPr="00733C06">
              <w:rPr>
                <w:rFonts w:ascii="ＭＳ ゴシック" w:eastAsia="ＭＳ ゴシック" w:hAnsi="ＭＳ ゴシック" w:hint="eastAsia"/>
                <w:color w:val="000000"/>
                <w:kern w:val="0"/>
                <w:u w:val="single"/>
              </w:rPr>
              <w:t xml:space="preserve">　　　　 円（注４）</w:t>
            </w:r>
          </w:p>
          <w:p w14:paraId="7C38E118" w14:textId="18A61EB6" w:rsidR="00B6323F" w:rsidRDefault="00733C06" w:rsidP="00336DB2">
            <w:pPr>
              <w:pStyle w:val="a5"/>
              <w:numPr>
                <w:ilvl w:val="0"/>
                <w:numId w:val="6"/>
              </w:numPr>
              <w:suppressAutoHyphens/>
              <w:kinsoku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製品等価格への転嫁の状況（注３）</w:t>
            </w:r>
          </w:p>
          <w:p w14:paraId="4B0F9AEA" w14:textId="7177DB84"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sidRPr="00733C06">
              <w:rPr>
                <w:rFonts w:ascii="ＭＳ ゴシック" w:eastAsia="ＭＳ ゴシック" w:hAnsi="ＭＳ ゴシック" w:hint="eastAsia"/>
                <w:color w:val="000000"/>
                <w:kern w:val="0"/>
                <w:u w:val="single"/>
              </w:rPr>
              <w:t>Ａ</w:t>
            </w:r>
            <w:r>
              <w:rPr>
                <w:rFonts w:ascii="ＭＳ ゴシック" w:eastAsia="ＭＳ ゴシック" w:hAnsi="ＭＳ ゴシック" w:hint="eastAsia"/>
                <w:color w:val="000000"/>
                <w:kern w:val="0"/>
              </w:rPr>
              <w:t xml:space="preserve">　</w:t>
            </w:r>
            <w:r w:rsidRPr="00733C0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 xml:space="preserve">　</w:t>
            </w:r>
            <w:r w:rsidRPr="00733C06">
              <w:rPr>
                <w:rFonts w:ascii="ＭＳ ゴシック" w:eastAsia="ＭＳ ゴシック" w:hAnsi="ＭＳ ゴシック" w:hint="eastAsia"/>
                <w:color w:val="000000"/>
                <w:kern w:val="0"/>
                <w:u w:val="single"/>
              </w:rPr>
              <w:t>ａ</w:t>
            </w:r>
          </w:p>
          <w:p w14:paraId="28CEC75F" w14:textId="588FCE61" w:rsidR="00733C06" w:rsidRDefault="00733C06"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　　　ｂ　　＝Ｐ　　　　　　　　　　　　　　　　　　　　　 Ｐ＝</w:t>
            </w:r>
          </w:p>
          <w:p w14:paraId="10F04AEC" w14:textId="1FED6AFD"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Ａ：最近３か月間の原油等の仕入額</w:t>
            </w:r>
          </w:p>
          <w:p w14:paraId="6FE9B9F3" w14:textId="11C86AD3"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円（注４）</w:t>
            </w:r>
          </w:p>
          <w:p w14:paraId="14394207" w14:textId="6755F474"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ａ：Ａの期間に対応する前年３か月間の原油等の仕入額　　　　　　　　　　</w:t>
            </w:r>
          </w:p>
          <w:p w14:paraId="1883C2D0" w14:textId="4970EF3A"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円（注４）</w:t>
            </w:r>
          </w:p>
          <w:p w14:paraId="025DC5A3" w14:textId="616046D6"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Ｂ：最近３か月間の売上高</w:t>
            </w:r>
          </w:p>
          <w:p w14:paraId="6AC8F633" w14:textId="46E9B985"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円（注４）</w:t>
            </w:r>
          </w:p>
          <w:p w14:paraId="16DC6C88" w14:textId="35B33B53" w:rsid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ｂ：Ｂの期間に対応する前年３か月間の売上高</w:t>
            </w:r>
          </w:p>
          <w:p w14:paraId="31A10690" w14:textId="50063B1B" w:rsidR="00336DB2" w:rsidRPr="00336DB2" w:rsidRDefault="00336DB2" w:rsidP="00336DB2">
            <w:pPr>
              <w:pStyle w:val="a5"/>
              <w:suppressAutoHyphens/>
              <w:kinsoku w:val="0"/>
              <w:overflowPunct w:val="0"/>
              <w:autoSpaceDE w:val="0"/>
              <w:autoSpaceDN w:val="0"/>
              <w:adjustRightInd w:val="0"/>
              <w:spacing w:line="240" w:lineRule="exact"/>
              <w:ind w:leftChars="0" w:left="36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円（注４）</w:t>
            </w:r>
          </w:p>
          <w:p w14:paraId="4C6D71D4" w14:textId="53B3182C" w:rsidR="00B6323F" w:rsidRDefault="00733C06"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382BD6FB" w14:textId="77777777" w:rsidR="00B6323F" w:rsidRDefault="00B6323F"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p>
          <w:p w14:paraId="1967F085" w14:textId="77777777" w:rsidR="00B6323F" w:rsidRDefault="00B6323F"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p>
          <w:p w14:paraId="106E9F9D" w14:textId="77777777" w:rsidR="00B6323F" w:rsidRDefault="00B6323F"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p>
          <w:p w14:paraId="117AF55B" w14:textId="4382EA98" w:rsidR="00AC7EB5" w:rsidRDefault="00AC7EB5"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336DB2">
            <w:pPr>
              <w:suppressAutoHyphens/>
              <w:kinsoku w:val="0"/>
              <w:overflowPunct w:val="0"/>
              <w:autoSpaceDE w:val="0"/>
              <w:autoSpaceDN w:val="0"/>
              <w:adjustRightInd w:val="0"/>
              <w:spacing w:line="24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153C5231" w:rsidR="00AC7EB5" w:rsidRPr="00574C50" w:rsidRDefault="00AC7EB5" w:rsidP="00336DB2">
            <w:pPr>
              <w:suppressAutoHyphens/>
              <w:kinsoku w:val="0"/>
              <w:overflowPunct w:val="0"/>
              <w:autoSpaceDE w:val="0"/>
              <w:autoSpaceDN w:val="0"/>
              <w:adjustRightInd w:val="0"/>
              <w:spacing w:line="24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 xml:space="preserve">認定者　　　留萌市長　</w:t>
            </w:r>
          </w:p>
        </w:tc>
      </w:tr>
    </w:tbl>
    <w:p w14:paraId="2EE467E5" w14:textId="77777777" w:rsidR="00336DB2" w:rsidRDefault="00336DB2"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lang w:eastAsia="zh-TW"/>
        </w:rPr>
      </w:pPr>
    </w:p>
    <w:p w14:paraId="634B21D4" w14:textId="42954D68" w:rsidR="007314D8" w:rsidRPr="00336DB2" w:rsidRDefault="00ED4963"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336DB2">
        <w:rPr>
          <w:rFonts w:ascii="ＭＳ ゴシック" w:eastAsia="ＭＳ ゴシック" w:hAnsi="ＭＳ ゴシック" w:hint="eastAsia"/>
          <w:color w:val="000000"/>
          <w:kern w:val="0"/>
        </w:rPr>
        <w:lastRenderedPageBreak/>
        <w:t>本様式は、</w:t>
      </w:r>
      <w:r w:rsidR="00336DB2" w:rsidRPr="00336DB2">
        <w:rPr>
          <w:rFonts w:ascii="ＭＳ ゴシック" w:eastAsia="ＭＳ ゴシック" w:hAnsi="ＭＳ ゴシック" w:hint="eastAsia"/>
          <w:color w:val="000000"/>
          <w:kern w:val="0"/>
        </w:rPr>
        <w:t>１つの指定業種に属する事業のみを営んでいる場合、または営んでいる複数の事業が全て指定業種に属する場合に使用する。</w:t>
      </w:r>
    </w:p>
    <w:p w14:paraId="5E4CC7AE" w14:textId="23CD3A9C" w:rsidR="00336DB2" w:rsidRDefault="00336DB2"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上昇率及び依存率が２０％以上となっていること。</w:t>
      </w:r>
    </w:p>
    <w:p w14:paraId="3C19A370" w14:textId="1D6B78EB" w:rsidR="00336DB2" w:rsidRDefault="00336DB2"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P＞０となっていること。</w:t>
      </w:r>
    </w:p>
    <w:p w14:paraId="14752C09" w14:textId="662305BA" w:rsidR="00336DB2" w:rsidRDefault="00336DB2" w:rsidP="00336DB2">
      <w:pPr>
        <w:pStyle w:val="a5"/>
        <w:numPr>
          <w:ilvl w:val="0"/>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申請者全体の値を記載。</w:t>
      </w:r>
    </w:p>
    <w:p w14:paraId="4FBAFFB5" w14:textId="4C8F1382" w:rsidR="00336DB2" w:rsidRDefault="00336DB2" w:rsidP="00336DB2">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（留意事項）</w:t>
      </w:r>
    </w:p>
    <w:p w14:paraId="2B92B7D1" w14:textId="41BA0675" w:rsidR="00336DB2" w:rsidRDefault="00336DB2" w:rsidP="00336DB2">
      <w:pPr>
        <w:pStyle w:val="a5"/>
        <w:numPr>
          <w:ilvl w:val="1"/>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本認定とは別に、金融機関及び信用保証協会による金融上の審査があります。</w:t>
      </w:r>
    </w:p>
    <w:p w14:paraId="607A70AD" w14:textId="6DDBB442" w:rsidR="00336DB2" w:rsidRDefault="00336DB2" w:rsidP="00336DB2">
      <w:pPr>
        <w:pStyle w:val="a5"/>
        <w:numPr>
          <w:ilvl w:val="1"/>
          <w:numId w:val="7"/>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市町村長又は特別区長から認定を受けた日から３０日以内に金融機関又は信用保証協会に対して、保証の申込みを行うことが必要です。</w:t>
      </w:r>
    </w:p>
    <w:p w14:paraId="1528D1EF"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5D394DB0"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EBC623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C0013CF"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52B340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5BCE58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3CA7B6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CE9B39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7E2273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52CEDDB9"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DDC796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1119FB5"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F4B6240"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AEC8C8B"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E34D9F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0971834"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9EAAB2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D324547"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8D792C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FAE766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1A7A96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0FB1E6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102C57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6F7DAA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F05E4F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B76A9D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B11CA2A"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0D084F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9C528B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589A10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257F2F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0836AD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7A9B0A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04E8356"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2C53FC0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2DB354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FC91FF9"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DE44A9A"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83A38C1"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9951E2D"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BD9C822"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6DAF61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1FBFCD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7E4438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DD31BEE"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D6F1B24"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55A74C0A"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B2F700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09C3858"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4CBA088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09E4D093"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7FF0134C"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6D9C5DA0" w14:textId="77777777" w:rsid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369679D9" w14:textId="77777777" w:rsidR="00336DB2" w:rsidRPr="00336DB2" w:rsidRDefault="00336DB2" w:rsidP="00336DB2">
      <w:pPr>
        <w:pStyle w:val="a5"/>
        <w:suppressAutoHyphens/>
        <w:wordWrap w:val="0"/>
        <w:spacing w:line="240" w:lineRule="exact"/>
        <w:ind w:leftChars="0" w:left="800"/>
        <w:jc w:val="left"/>
        <w:textAlignment w:val="baseline"/>
        <w:rPr>
          <w:rFonts w:ascii="ＭＳ ゴシック" w:eastAsia="ＭＳ ゴシック" w:hAnsi="ＭＳ ゴシック"/>
          <w:color w:val="000000"/>
          <w:spacing w:val="16"/>
          <w:kern w:val="0"/>
        </w:rPr>
      </w:pPr>
    </w:p>
    <w:p w14:paraId="1633F2C3" w14:textId="348119BB"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336DB2">
        <w:rPr>
          <w:rFonts w:asciiTheme="majorEastAsia" w:eastAsiaTheme="majorEastAsia" w:hAnsiTheme="majorEastAsia" w:hint="eastAsia"/>
          <w:sz w:val="24"/>
          <w:szCs w:val="24"/>
        </w:rPr>
        <w:t>ロ</w:t>
      </w:r>
      <w:r w:rsidRPr="00E06C08">
        <w:rPr>
          <w:rFonts w:asciiTheme="majorEastAsia" w:eastAsiaTheme="majorEastAsia" w:hAnsiTheme="majorEastAsia" w:hint="eastAsia"/>
          <w:sz w:val="24"/>
          <w:szCs w:val="24"/>
        </w:rPr>
        <w:t>）－</w:t>
      </w:r>
      <w:r w:rsidR="00336DB2">
        <w:rPr>
          <w:rFonts w:asciiTheme="majorEastAsia" w:eastAsiaTheme="majorEastAsia" w:hAnsiTheme="majorEastAsia" w:hint="eastAsia"/>
          <w:sz w:val="24"/>
          <w:szCs w:val="24"/>
        </w:rPr>
        <w:t>①</w:t>
      </w:r>
      <w:r w:rsidRPr="00E06C08">
        <w:rPr>
          <w:rFonts w:asciiTheme="majorEastAsia" w:eastAsiaTheme="majorEastAsia" w:hAnsiTheme="majorEastAsia" w:hint="eastAsia"/>
          <w:sz w:val="24"/>
          <w:szCs w:val="24"/>
        </w:rPr>
        <w:t>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54C3CBF9"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w:t>
      </w:r>
      <w:r w:rsidR="00336DB2">
        <w:rPr>
          <w:rFonts w:asciiTheme="majorEastAsia" w:eastAsiaTheme="majorEastAsia" w:hAnsiTheme="majorEastAsia" w:hint="eastAsia"/>
          <w:sz w:val="24"/>
          <w:szCs w:val="24"/>
        </w:rPr>
        <w:t>最近１年間</w:t>
      </w:r>
      <w:r w:rsidR="007314D8">
        <w:rPr>
          <w:rFonts w:asciiTheme="majorEastAsia" w:eastAsiaTheme="majorEastAsia" w:hAnsiTheme="majorEastAsia" w:hint="eastAsia"/>
          <w:sz w:val="24"/>
          <w:szCs w:val="24"/>
        </w:rPr>
        <w:t>の売上高</w:t>
      </w:r>
      <w:r w:rsidRPr="00E06C08">
        <w:rPr>
          <w:rFonts w:asciiTheme="majorEastAsia" w:eastAsiaTheme="majorEastAsia" w:hAnsiTheme="majorEastAsia"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7314D8">
        <w:tc>
          <w:tcPr>
            <w:tcW w:w="3023"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002"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035"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7314D8">
        <w:tc>
          <w:tcPr>
            <w:tcW w:w="3023"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7314D8">
        <w:tc>
          <w:tcPr>
            <w:tcW w:w="3023"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7314D8">
        <w:tc>
          <w:tcPr>
            <w:tcW w:w="3023"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002"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7314D8">
        <w:tc>
          <w:tcPr>
            <w:tcW w:w="3023"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002"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035"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085418C9" w14:textId="1EBC4EF7" w:rsidR="003953E5" w:rsidRDefault="003953E5" w:rsidP="007314D8">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w:t>
      </w:r>
      <w:r w:rsidR="00E757D1">
        <w:rPr>
          <w:rFonts w:asciiTheme="majorEastAsia" w:eastAsiaTheme="majorEastAsia" w:hAnsiTheme="majorEastAsia" w:hint="eastAsia"/>
          <w:color w:val="000000"/>
          <w:spacing w:val="16"/>
          <w:kern w:val="0"/>
          <w:sz w:val="24"/>
          <w:szCs w:val="24"/>
        </w:rPr>
        <w:t>営んでいる全ての事業が属する業種（日本標準産業分類の細分類番号と細分類業種名）を記載</w:t>
      </w:r>
      <w:r w:rsidRPr="00E06C08">
        <w:rPr>
          <w:rFonts w:asciiTheme="majorEastAsia" w:eastAsiaTheme="majorEastAsia" w:hAnsiTheme="majorEastAsia" w:hint="eastAsia"/>
          <w:color w:val="000000"/>
          <w:spacing w:val="16"/>
          <w:kern w:val="0"/>
          <w:sz w:val="24"/>
          <w:szCs w:val="24"/>
        </w:rPr>
        <w:t>。</w:t>
      </w:r>
      <w:r w:rsidR="00E757D1">
        <w:rPr>
          <w:rFonts w:asciiTheme="majorEastAsia" w:eastAsiaTheme="majorEastAsia" w:hAnsiTheme="majorEastAsia" w:hint="eastAsia"/>
          <w:color w:val="000000"/>
          <w:spacing w:val="16"/>
          <w:kern w:val="0"/>
          <w:sz w:val="24"/>
          <w:szCs w:val="24"/>
        </w:rPr>
        <w:t>細分類業種は全て指定業種に該当することが必要。</w:t>
      </w:r>
    </w:p>
    <w:p w14:paraId="3AF92B2C" w14:textId="65204A1D" w:rsidR="00E757D1" w:rsidRPr="00E06C08" w:rsidRDefault="00E757D1" w:rsidP="007314D8">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w:t>
      </w:r>
      <w:r w:rsidRPr="00E06C0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指定業種の売上高を合算して記載することも可</w:t>
      </w:r>
    </w:p>
    <w:p w14:paraId="1D478900" w14:textId="77777777" w:rsidR="003953E5" w:rsidRPr="00E757D1" w:rsidRDefault="003953E5" w:rsidP="003953E5">
      <w:pPr>
        <w:widowControl/>
        <w:jc w:val="left"/>
        <w:rPr>
          <w:rFonts w:asciiTheme="majorEastAsia" w:eastAsiaTheme="majorEastAsia" w:hAnsiTheme="majorEastAsia"/>
          <w:color w:val="000000"/>
          <w:spacing w:val="16"/>
          <w:kern w:val="0"/>
          <w:sz w:val="24"/>
          <w:szCs w:val="24"/>
        </w:rPr>
      </w:pPr>
    </w:p>
    <w:p w14:paraId="5C5F7E65" w14:textId="2C0F3465" w:rsidR="003953E5" w:rsidRPr="00907728" w:rsidRDefault="003953E5" w:rsidP="00907728">
      <w:pPr>
        <w:widowControl/>
        <w:ind w:left="968" w:rightChars="-203" w:right="-426" w:hangingChars="400" w:hanging="968"/>
        <w:jc w:val="left"/>
        <w:rPr>
          <w:rFonts w:asciiTheme="majorEastAsia" w:eastAsiaTheme="majorEastAsia" w:hAnsiTheme="majorEastAsia"/>
          <w:color w:val="000000"/>
          <w:spacing w:val="16"/>
          <w:kern w:val="0"/>
          <w:sz w:val="18"/>
          <w:szCs w:val="18"/>
        </w:rPr>
      </w:pPr>
      <w:r w:rsidRPr="00907728">
        <w:rPr>
          <w:rFonts w:asciiTheme="majorEastAsia" w:eastAsiaTheme="majorEastAsia" w:hAnsiTheme="majorEastAsia" w:hint="eastAsia"/>
          <w:color w:val="000000"/>
          <w:spacing w:val="16"/>
          <w:kern w:val="0"/>
          <w:szCs w:val="21"/>
        </w:rPr>
        <w:t>（表２：</w:t>
      </w:r>
      <w:r w:rsidR="00E757D1">
        <w:rPr>
          <w:rFonts w:asciiTheme="majorEastAsia" w:eastAsiaTheme="majorEastAsia" w:hAnsiTheme="majorEastAsia" w:hint="eastAsia"/>
          <w:color w:val="000000"/>
          <w:spacing w:val="16"/>
          <w:kern w:val="0"/>
          <w:szCs w:val="21"/>
        </w:rPr>
        <w:t>企業全体に係る原油等の最近１か月間の仕入単価の上昇</w:t>
      </w:r>
      <w:r w:rsidRPr="00907728">
        <w:rPr>
          <w:rFonts w:asciiTheme="majorEastAsia" w:eastAsiaTheme="majorEastAsia" w:hAnsiTheme="majorEastAsia" w:hint="eastAsia"/>
          <w:color w:val="000000"/>
          <w:spacing w:val="16"/>
          <w:kern w:val="0"/>
          <w:sz w:val="20"/>
        </w:rPr>
        <w:t>）</w:t>
      </w:r>
      <w:r w:rsidR="00907728">
        <w:rPr>
          <w:rFonts w:asciiTheme="majorEastAsia" w:eastAsiaTheme="majorEastAsia" w:hAnsiTheme="majorEastAsia" w:hint="eastAsia"/>
          <w:color w:val="000000"/>
          <w:spacing w:val="16"/>
          <w:kern w:val="0"/>
          <w:sz w:val="18"/>
          <w:szCs w:val="18"/>
        </w:rPr>
        <w:t xml:space="preserve">　</w:t>
      </w:r>
    </w:p>
    <w:tbl>
      <w:tblPr>
        <w:tblStyle w:val="ac"/>
        <w:tblW w:w="0" w:type="auto"/>
        <w:tblLook w:val="04A0" w:firstRow="1" w:lastRow="0" w:firstColumn="1" w:lastColumn="0" w:noHBand="0" w:noVBand="1"/>
      </w:tblPr>
      <w:tblGrid>
        <w:gridCol w:w="1213"/>
        <w:gridCol w:w="2870"/>
        <w:gridCol w:w="2433"/>
        <w:gridCol w:w="2544"/>
      </w:tblGrid>
      <w:tr w:rsidR="00E757D1" w14:paraId="79D84EF4" w14:textId="77777777" w:rsidTr="00E757D1">
        <w:tc>
          <w:tcPr>
            <w:tcW w:w="1213" w:type="dxa"/>
          </w:tcPr>
          <w:p w14:paraId="3D52E1F0" w14:textId="77777777" w:rsidR="00E757D1" w:rsidRDefault="00E757D1" w:rsidP="003953E5">
            <w:pPr>
              <w:widowControl/>
              <w:jc w:val="left"/>
              <w:rPr>
                <w:rFonts w:asciiTheme="majorEastAsia" w:eastAsiaTheme="majorEastAsia" w:hAnsiTheme="majorEastAsia"/>
                <w:sz w:val="24"/>
                <w:szCs w:val="24"/>
              </w:rPr>
            </w:pPr>
          </w:p>
        </w:tc>
        <w:tc>
          <w:tcPr>
            <w:tcW w:w="2870" w:type="dxa"/>
          </w:tcPr>
          <w:p w14:paraId="2FB28FE7" w14:textId="25AAD92D" w:rsidR="00E757D1" w:rsidRDefault="00E757D1"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原油等の最近１か月間の平均仕入単価</w:t>
            </w:r>
          </w:p>
        </w:tc>
        <w:tc>
          <w:tcPr>
            <w:tcW w:w="2433" w:type="dxa"/>
          </w:tcPr>
          <w:p w14:paraId="704750FB" w14:textId="75276FE3" w:rsidR="00E757D1" w:rsidRDefault="00E757D1"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原油等の前年同月の平均仕入単価</w:t>
            </w:r>
          </w:p>
        </w:tc>
        <w:tc>
          <w:tcPr>
            <w:tcW w:w="2544" w:type="dxa"/>
          </w:tcPr>
          <w:p w14:paraId="3C0CA7AE" w14:textId="77777777" w:rsidR="00E757D1" w:rsidRDefault="00E757D1"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原油等の仕入単価の上昇率</w:t>
            </w:r>
          </w:p>
          <w:p w14:paraId="7AFA92A2" w14:textId="6F4470A6" w:rsidR="00E757D1" w:rsidRDefault="00E757D1"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（Ｅ/ｅ×100-100）</w:t>
            </w:r>
          </w:p>
        </w:tc>
      </w:tr>
      <w:tr w:rsidR="00E757D1" w14:paraId="38AD870C" w14:textId="77777777" w:rsidTr="00E757D1">
        <w:tc>
          <w:tcPr>
            <w:tcW w:w="1213" w:type="dxa"/>
          </w:tcPr>
          <w:p w14:paraId="7A59DB73" w14:textId="657F253E" w:rsidR="00E757D1" w:rsidRDefault="00E757D1" w:rsidP="003953E5">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企業全体</w:t>
            </w:r>
          </w:p>
        </w:tc>
        <w:tc>
          <w:tcPr>
            <w:tcW w:w="2870" w:type="dxa"/>
          </w:tcPr>
          <w:p w14:paraId="6444D1DF" w14:textId="392C53EA" w:rsidR="00E757D1" w:rsidRDefault="00E757D1" w:rsidP="00E757D1">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円【Ｅ】</w:t>
            </w:r>
          </w:p>
        </w:tc>
        <w:tc>
          <w:tcPr>
            <w:tcW w:w="2433" w:type="dxa"/>
          </w:tcPr>
          <w:p w14:paraId="3F344508" w14:textId="5829654F" w:rsidR="00E757D1" w:rsidRDefault="00E757D1" w:rsidP="00E757D1">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円【ｅ】</w:t>
            </w:r>
          </w:p>
        </w:tc>
        <w:tc>
          <w:tcPr>
            <w:tcW w:w="2544" w:type="dxa"/>
          </w:tcPr>
          <w:p w14:paraId="534928C2" w14:textId="23640B25" w:rsidR="00E757D1" w:rsidRDefault="00E757D1" w:rsidP="00E757D1">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087456EC"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w:t>
      </w:r>
      <w:r w:rsidR="00E757D1">
        <w:rPr>
          <w:rFonts w:asciiTheme="majorEastAsia" w:eastAsiaTheme="majorEastAsia" w:hAnsiTheme="majorEastAsia" w:hint="eastAsia"/>
          <w:sz w:val="24"/>
          <w:szCs w:val="24"/>
        </w:rPr>
        <w:t>企業全体の売上原価に占める原油等の仕入価格の割合</w:t>
      </w:r>
      <w:r w:rsidRPr="00E06C08">
        <w:rPr>
          <w:rFonts w:asciiTheme="majorEastAsia" w:eastAsiaTheme="majorEastAsia" w:hAnsiTheme="majorEastAsia" w:hint="eastAsia"/>
          <w:sz w:val="24"/>
          <w:szCs w:val="24"/>
        </w:rPr>
        <w:t>）</w:t>
      </w:r>
    </w:p>
    <w:tbl>
      <w:tblPr>
        <w:tblStyle w:val="ac"/>
        <w:tblW w:w="0" w:type="auto"/>
        <w:tblLook w:val="04A0" w:firstRow="1" w:lastRow="0" w:firstColumn="1" w:lastColumn="0" w:noHBand="0" w:noVBand="1"/>
      </w:tblPr>
      <w:tblGrid>
        <w:gridCol w:w="1325"/>
        <w:gridCol w:w="2214"/>
        <w:gridCol w:w="2977"/>
        <w:gridCol w:w="2544"/>
      </w:tblGrid>
      <w:tr w:rsidR="00E757D1" w14:paraId="4B0F0743" w14:textId="77777777" w:rsidTr="00E757D1">
        <w:tc>
          <w:tcPr>
            <w:tcW w:w="1325" w:type="dxa"/>
          </w:tcPr>
          <w:p w14:paraId="041B1937" w14:textId="77777777"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p>
        </w:tc>
        <w:tc>
          <w:tcPr>
            <w:tcW w:w="2214" w:type="dxa"/>
          </w:tcPr>
          <w:p w14:paraId="1EA301BD" w14:textId="04317E9E"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最近１か月間の売上原価</w:t>
            </w:r>
          </w:p>
        </w:tc>
        <w:tc>
          <w:tcPr>
            <w:tcW w:w="2977" w:type="dxa"/>
          </w:tcPr>
          <w:p w14:paraId="6E867052" w14:textId="73546B9D"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最近１か月間の売上原価に対応する原油等の仕入価格</w:t>
            </w:r>
          </w:p>
        </w:tc>
        <w:tc>
          <w:tcPr>
            <w:tcW w:w="2544" w:type="dxa"/>
          </w:tcPr>
          <w:p w14:paraId="6ECEF82E" w14:textId="77777777"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売上原価に占める原油等の仕入価格の割合</w:t>
            </w:r>
          </w:p>
          <w:p w14:paraId="368FF0A0" w14:textId="7A01C515"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（Ｓ/Ｃ×100）</w:t>
            </w:r>
          </w:p>
        </w:tc>
      </w:tr>
      <w:tr w:rsidR="00E757D1" w14:paraId="3BA184A2" w14:textId="77777777" w:rsidTr="00E757D1">
        <w:tc>
          <w:tcPr>
            <w:tcW w:w="1325" w:type="dxa"/>
          </w:tcPr>
          <w:p w14:paraId="1A9666B7" w14:textId="1F692C07" w:rsidR="00E757D1" w:rsidRDefault="00E757D1"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企業全体</w:t>
            </w:r>
          </w:p>
        </w:tc>
        <w:tc>
          <w:tcPr>
            <w:tcW w:w="2214" w:type="dxa"/>
          </w:tcPr>
          <w:p w14:paraId="16EF3800" w14:textId="2EA615B4" w:rsidR="00E757D1" w:rsidRDefault="00E757D1" w:rsidP="00E757D1">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円【Ｃ】</w:t>
            </w:r>
          </w:p>
        </w:tc>
        <w:tc>
          <w:tcPr>
            <w:tcW w:w="2977" w:type="dxa"/>
          </w:tcPr>
          <w:p w14:paraId="72441058" w14:textId="3485EFDC" w:rsidR="00E757D1" w:rsidRDefault="00E757D1" w:rsidP="00E757D1">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円【Ｓ】</w:t>
            </w:r>
          </w:p>
        </w:tc>
        <w:tc>
          <w:tcPr>
            <w:tcW w:w="2544" w:type="dxa"/>
          </w:tcPr>
          <w:p w14:paraId="3833F096" w14:textId="20222DD2" w:rsidR="00E757D1" w:rsidRDefault="00E757D1" w:rsidP="00E757D1">
            <w:pPr>
              <w:suppressAutoHyphens/>
              <w:kinsoku w:val="0"/>
              <w:wordWrap w:val="0"/>
              <w:overflowPunct w:val="0"/>
              <w:autoSpaceDE w:val="0"/>
              <w:autoSpaceDN w:val="0"/>
              <w:adjustRightInd w:val="0"/>
              <w:spacing w:line="274" w:lineRule="atLeast"/>
              <w:jc w:val="right"/>
              <w:textAlignment w:val="baseline"/>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75FA4E8E"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w:t>
      </w:r>
      <w:r w:rsidR="00285101">
        <w:rPr>
          <w:rFonts w:asciiTheme="majorEastAsia" w:eastAsiaTheme="majorEastAsia" w:hAnsiTheme="majorEastAsia" w:hint="eastAsia"/>
          <w:sz w:val="24"/>
          <w:szCs w:val="24"/>
        </w:rPr>
        <w:t>表４：</w:t>
      </w:r>
      <w:r w:rsidR="00E757D1">
        <w:rPr>
          <w:rFonts w:asciiTheme="majorEastAsia" w:eastAsiaTheme="majorEastAsia" w:hAnsiTheme="majorEastAsia" w:hint="eastAsia"/>
          <w:sz w:val="24"/>
          <w:szCs w:val="24"/>
        </w:rPr>
        <w:t>企業全体の製品等価格への転嫁の状況</w:t>
      </w:r>
      <w:r w:rsidRPr="00E06C08">
        <w:rPr>
          <w:rFonts w:asciiTheme="majorEastAsia" w:eastAsiaTheme="majorEastAsia" w:hAnsiTheme="majorEastAsia" w:hint="eastAsia"/>
          <w:color w:val="000000"/>
          <w:spacing w:val="16"/>
          <w:kern w:val="0"/>
          <w:sz w:val="24"/>
          <w:szCs w:val="24"/>
        </w:rPr>
        <w:t>）</w:t>
      </w:r>
    </w:p>
    <w:tbl>
      <w:tblPr>
        <w:tblStyle w:val="ac"/>
        <w:tblW w:w="0" w:type="auto"/>
        <w:tblLook w:val="04A0" w:firstRow="1" w:lastRow="0" w:firstColumn="1" w:lastColumn="0" w:noHBand="0" w:noVBand="1"/>
      </w:tblPr>
      <w:tblGrid>
        <w:gridCol w:w="779"/>
        <w:gridCol w:w="1568"/>
        <w:gridCol w:w="1414"/>
        <w:gridCol w:w="912"/>
        <w:gridCol w:w="1341"/>
        <w:gridCol w:w="1106"/>
        <w:gridCol w:w="868"/>
        <w:gridCol w:w="1072"/>
      </w:tblGrid>
      <w:tr w:rsidR="00BC1EEB" w14:paraId="00454EAF" w14:textId="77777777" w:rsidTr="00F14173">
        <w:trPr>
          <w:trHeight w:val="753"/>
        </w:trPr>
        <w:tc>
          <w:tcPr>
            <w:tcW w:w="779" w:type="dxa"/>
          </w:tcPr>
          <w:p w14:paraId="7DEAD3D2" w14:textId="77777777" w:rsidR="00E757D1"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p>
        </w:tc>
        <w:tc>
          <w:tcPr>
            <w:tcW w:w="1568" w:type="dxa"/>
          </w:tcPr>
          <w:p w14:paraId="0BAF14AE" w14:textId="77777777" w:rsidR="00BC1EEB" w:rsidRDefault="00E757D1" w:rsidP="00F14173">
            <w:pPr>
              <w:suppressAutoHyphens/>
              <w:kinsoku w:val="0"/>
              <w:wordWrap w:val="0"/>
              <w:autoSpaceDE w:val="0"/>
              <w:autoSpaceDN w:val="0"/>
              <w:snapToGrid w:val="0"/>
              <w:spacing w:line="366" w:lineRule="atLeast"/>
              <w:contextualSpacing/>
              <w:jc w:val="left"/>
              <w:rPr>
                <w:rFonts w:asciiTheme="majorEastAsia" w:eastAsiaTheme="majorEastAsia" w:hAnsiTheme="majorEastAsia"/>
                <w:color w:val="000000"/>
                <w:spacing w:val="16"/>
                <w:sz w:val="16"/>
                <w:szCs w:val="16"/>
              </w:rPr>
            </w:pPr>
            <w:r w:rsidRPr="00BC1EEB">
              <w:rPr>
                <w:rFonts w:asciiTheme="majorEastAsia" w:eastAsiaTheme="majorEastAsia" w:hAnsiTheme="majorEastAsia" w:hint="eastAsia"/>
                <w:color w:val="000000"/>
                <w:spacing w:val="16"/>
                <w:sz w:val="16"/>
                <w:szCs w:val="16"/>
              </w:rPr>
              <w:t>最近３か月間の</w:t>
            </w:r>
          </w:p>
          <w:p w14:paraId="5DFEA0A6" w14:textId="1E99C1DE" w:rsidR="00E757D1" w:rsidRPr="00BC1EEB" w:rsidRDefault="00E757D1" w:rsidP="00F14173">
            <w:pPr>
              <w:suppressAutoHyphens/>
              <w:kinsoku w:val="0"/>
              <w:wordWrap w:val="0"/>
              <w:autoSpaceDE w:val="0"/>
              <w:autoSpaceDN w:val="0"/>
              <w:snapToGrid w:val="0"/>
              <w:spacing w:line="366" w:lineRule="atLeast"/>
              <w:contextualSpacing/>
              <w:jc w:val="left"/>
              <w:rPr>
                <w:rFonts w:asciiTheme="majorEastAsia" w:eastAsiaTheme="majorEastAsia" w:hAnsiTheme="majorEastAsia"/>
                <w:color w:val="000000"/>
                <w:spacing w:val="16"/>
                <w:sz w:val="16"/>
                <w:szCs w:val="16"/>
              </w:rPr>
            </w:pPr>
            <w:r w:rsidRPr="00BC1EEB">
              <w:rPr>
                <w:rFonts w:asciiTheme="majorEastAsia" w:eastAsiaTheme="majorEastAsia" w:hAnsiTheme="majorEastAsia" w:hint="eastAsia"/>
                <w:color w:val="000000"/>
                <w:spacing w:val="16"/>
                <w:sz w:val="16"/>
                <w:szCs w:val="16"/>
              </w:rPr>
              <w:t>原油等の</w:t>
            </w:r>
          </w:p>
          <w:p w14:paraId="34CD100F" w14:textId="3C13C879" w:rsidR="00E757D1" w:rsidRPr="00BC1EEB" w:rsidRDefault="00E757D1" w:rsidP="00F14173">
            <w:pPr>
              <w:suppressAutoHyphens/>
              <w:kinsoku w:val="0"/>
              <w:wordWrap w:val="0"/>
              <w:autoSpaceDE w:val="0"/>
              <w:autoSpaceDN w:val="0"/>
              <w:snapToGrid w:val="0"/>
              <w:spacing w:line="366" w:lineRule="atLeast"/>
              <w:contextualSpacing/>
              <w:jc w:val="left"/>
              <w:rPr>
                <w:rFonts w:asciiTheme="majorEastAsia" w:eastAsiaTheme="majorEastAsia" w:hAnsiTheme="majorEastAsia"/>
                <w:color w:val="000000"/>
                <w:spacing w:val="16"/>
                <w:sz w:val="18"/>
                <w:szCs w:val="18"/>
              </w:rPr>
            </w:pPr>
            <w:r w:rsidRPr="00BC1EEB">
              <w:rPr>
                <w:rFonts w:asciiTheme="majorEastAsia" w:eastAsiaTheme="majorEastAsia" w:hAnsiTheme="majorEastAsia" w:hint="eastAsia"/>
                <w:color w:val="000000"/>
                <w:spacing w:val="16"/>
                <w:sz w:val="16"/>
                <w:szCs w:val="16"/>
              </w:rPr>
              <w:t>仕入価格</w:t>
            </w:r>
          </w:p>
        </w:tc>
        <w:tc>
          <w:tcPr>
            <w:tcW w:w="1414" w:type="dxa"/>
          </w:tcPr>
          <w:p w14:paraId="03DDDDE9" w14:textId="77777777" w:rsidR="00BC1EEB"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6"/>
                <w:szCs w:val="16"/>
              </w:rPr>
            </w:pPr>
            <w:r w:rsidRPr="00BC1EEB">
              <w:rPr>
                <w:rFonts w:asciiTheme="majorEastAsia" w:eastAsiaTheme="majorEastAsia" w:hAnsiTheme="majorEastAsia" w:hint="eastAsia"/>
                <w:color w:val="000000"/>
                <w:spacing w:val="16"/>
                <w:sz w:val="16"/>
                <w:szCs w:val="16"/>
              </w:rPr>
              <w:t>最近３か月間</w:t>
            </w:r>
          </w:p>
          <w:p w14:paraId="39EDD129" w14:textId="2C5CEC31" w:rsidR="00E757D1" w:rsidRPr="00BC1EEB" w:rsidRDefault="00E757D1"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8"/>
                <w:szCs w:val="18"/>
              </w:rPr>
            </w:pPr>
            <w:r w:rsidRPr="00BC1EEB">
              <w:rPr>
                <w:rFonts w:asciiTheme="majorEastAsia" w:eastAsiaTheme="majorEastAsia" w:hAnsiTheme="majorEastAsia" w:hint="eastAsia"/>
                <w:color w:val="000000"/>
                <w:spacing w:val="16"/>
                <w:sz w:val="16"/>
                <w:szCs w:val="16"/>
              </w:rPr>
              <w:t>の売上高</w:t>
            </w:r>
          </w:p>
        </w:tc>
        <w:tc>
          <w:tcPr>
            <w:tcW w:w="912" w:type="dxa"/>
          </w:tcPr>
          <w:p w14:paraId="737DF732" w14:textId="3E0A4065" w:rsidR="00E757D1"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sidRPr="00BC1EEB">
              <w:rPr>
                <w:rFonts w:asciiTheme="majorEastAsia" w:eastAsiaTheme="majorEastAsia" w:hAnsiTheme="majorEastAsia" w:hint="eastAsia"/>
                <w:color w:val="000000"/>
                <w:spacing w:val="16"/>
                <w:sz w:val="22"/>
                <w:szCs w:val="22"/>
              </w:rPr>
              <w:t>(A/B)</w:t>
            </w:r>
          </w:p>
        </w:tc>
        <w:tc>
          <w:tcPr>
            <w:tcW w:w="1341" w:type="dxa"/>
          </w:tcPr>
          <w:p w14:paraId="63BB8B33" w14:textId="77777777"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18"/>
                <w:szCs w:val="18"/>
              </w:rPr>
            </w:pPr>
            <w:r w:rsidRPr="00BC1EEB">
              <w:rPr>
                <w:rFonts w:asciiTheme="majorEastAsia" w:eastAsiaTheme="majorEastAsia" w:hAnsiTheme="majorEastAsia" w:hint="eastAsia"/>
                <w:color w:val="000000"/>
                <w:spacing w:val="16"/>
                <w:sz w:val="18"/>
                <w:szCs w:val="18"/>
              </w:rPr>
              <w:t>前年同期の原油等の</w:t>
            </w:r>
          </w:p>
          <w:p w14:paraId="4281292F" w14:textId="24C9908F" w:rsidR="00E757D1"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sidRPr="00BC1EEB">
              <w:rPr>
                <w:rFonts w:asciiTheme="majorEastAsia" w:eastAsiaTheme="majorEastAsia" w:hAnsiTheme="majorEastAsia" w:hint="eastAsia"/>
                <w:color w:val="000000"/>
                <w:spacing w:val="16"/>
                <w:sz w:val="18"/>
                <w:szCs w:val="18"/>
              </w:rPr>
              <w:t>仕入価格</w:t>
            </w:r>
          </w:p>
        </w:tc>
        <w:tc>
          <w:tcPr>
            <w:tcW w:w="1106" w:type="dxa"/>
          </w:tcPr>
          <w:p w14:paraId="7015B8D4" w14:textId="0DB4F832" w:rsidR="00E757D1"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sidRPr="00BC1EEB">
              <w:rPr>
                <w:rFonts w:asciiTheme="majorEastAsia" w:eastAsiaTheme="majorEastAsia" w:hAnsiTheme="majorEastAsia" w:hint="eastAsia"/>
                <w:color w:val="000000"/>
                <w:spacing w:val="16"/>
                <w:sz w:val="18"/>
                <w:szCs w:val="18"/>
              </w:rPr>
              <w:t>前年</w:t>
            </w:r>
            <w:r>
              <w:rPr>
                <w:rFonts w:asciiTheme="majorEastAsia" w:eastAsiaTheme="majorEastAsia" w:hAnsiTheme="majorEastAsia" w:hint="eastAsia"/>
                <w:color w:val="000000"/>
                <w:spacing w:val="16"/>
                <w:sz w:val="18"/>
                <w:szCs w:val="18"/>
              </w:rPr>
              <w:t>同</w:t>
            </w:r>
            <w:r w:rsidRPr="00BC1EEB">
              <w:rPr>
                <w:rFonts w:asciiTheme="majorEastAsia" w:eastAsiaTheme="majorEastAsia" w:hAnsiTheme="majorEastAsia" w:hint="eastAsia"/>
                <w:color w:val="000000"/>
                <w:spacing w:val="16"/>
                <w:sz w:val="18"/>
                <w:szCs w:val="18"/>
              </w:rPr>
              <w:t>期の売上高</w:t>
            </w:r>
          </w:p>
        </w:tc>
        <w:tc>
          <w:tcPr>
            <w:tcW w:w="868" w:type="dxa"/>
          </w:tcPr>
          <w:p w14:paraId="0C60852B" w14:textId="7DD99A97" w:rsidR="00E757D1" w:rsidRP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rPr>
            </w:pPr>
            <w:r w:rsidRPr="00BC1EEB">
              <w:rPr>
                <w:rFonts w:asciiTheme="majorEastAsia" w:eastAsiaTheme="majorEastAsia" w:hAnsiTheme="majorEastAsia" w:hint="eastAsia"/>
                <w:color w:val="000000"/>
                <w:spacing w:val="16"/>
                <w:sz w:val="22"/>
                <w:szCs w:val="22"/>
              </w:rPr>
              <w:t>(a/</w:t>
            </w:r>
            <w:r>
              <w:rPr>
                <w:rFonts w:asciiTheme="majorEastAsia" w:eastAsiaTheme="majorEastAsia" w:hAnsiTheme="majorEastAsia" w:hint="eastAsia"/>
                <w:color w:val="000000"/>
                <w:spacing w:val="16"/>
                <w:sz w:val="22"/>
                <w:szCs w:val="22"/>
              </w:rPr>
              <w:t>b</w:t>
            </w:r>
            <w:r w:rsidRPr="00BC1EEB">
              <w:rPr>
                <w:rFonts w:asciiTheme="majorEastAsia" w:eastAsiaTheme="majorEastAsia" w:hAnsiTheme="majorEastAsia" w:hint="eastAsia"/>
                <w:color w:val="000000"/>
                <w:spacing w:val="16"/>
                <w:sz w:val="22"/>
                <w:szCs w:val="22"/>
              </w:rPr>
              <w:t>)</w:t>
            </w:r>
          </w:p>
        </w:tc>
        <w:tc>
          <w:tcPr>
            <w:tcW w:w="1072" w:type="dxa"/>
          </w:tcPr>
          <w:p w14:paraId="118AC651" w14:textId="77777777"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(A/B)</w:t>
            </w:r>
          </w:p>
          <w:p w14:paraId="160233FA" w14:textId="77777777"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-(a/b)</w:t>
            </w:r>
          </w:p>
          <w:p w14:paraId="6DE188AD" w14:textId="2AAB2875" w:rsidR="00BC1EEB" w:rsidRDefault="00BC1EEB"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=P</w:t>
            </w:r>
          </w:p>
        </w:tc>
      </w:tr>
      <w:tr w:rsidR="00BC1EEB" w14:paraId="6C62E911" w14:textId="77777777" w:rsidTr="00F14173">
        <w:trPr>
          <w:trHeight w:val="343"/>
        </w:trPr>
        <w:tc>
          <w:tcPr>
            <w:tcW w:w="779" w:type="dxa"/>
          </w:tcPr>
          <w:p w14:paraId="7DE85089" w14:textId="370D1E33" w:rsidR="00E757D1" w:rsidRDefault="00E757D1" w:rsidP="00BC1EEB">
            <w:pPr>
              <w:suppressAutoHyphens/>
              <w:kinsoku w:val="0"/>
              <w:autoSpaceDE w:val="0"/>
              <w:autoSpaceDN w:val="0"/>
              <w:spacing w:line="366" w:lineRule="atLeast"/>
              <w:jc w:val="lef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企業全体</w:t>
            </w:r>
          </w:p>
        </w:tc>
        <w:tc>
          <w:tcPr>
            <w:tcW w:w="1568" w:type="dxa"/>
          </w:tcPr>
          <w:p w14:paraId="2F289065"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5466841E" w14:textId="74271B05" w:rsidR="00BC1EEB" w:rsidRDefault="00A61AF2"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 xml:space="preserve">　　</w:t>
            </w:r>
            <w:r w:rsidR="00BC1EEB">
              <w:rPr>
                <w:rFonts w:asciiTheme="majorEastAsia" w:eastAsiaTheme="majorEastAsia" w:hAnsiTheme="majorEastAsia" w:hint="eastAsia"/>
                <w:color w:val="000000"/>
                <w:spacing w:val="16"/>
                <w:sz w:val="24"/>
                <w:szCs w:val="24"/>
              </w:rPr>
              <w:t>【</w:t>
            </w:r>
            <w:r>
              <w:rPr>
                <w:rFonts w:asciiTheme="majorEastAsia" w:eastAsiaTheme="majorEastAsia" w:hAnsiTheme="majorEastAsia" w:hint="eastAsia"/>
                <w:color w:val="000000"/>
                <w:spacing w:val="16"/>
                <w:sz w:val="24"/>
                <w:szCs w:val="24"/>
              </w:rPr>
              <w:t>A</w:t>
            </w:r>
            <w:r w:rsidR="00BC1EEB">
              <w:rPr>
                <w:rFonts w:asciiTheme="majorEastAsia" w:eastAsiaTheme="majorEastAsia" w:hAnsiTheme="majorEastAsia" w:hint="eastAsia"/>
                <w:color w:val="000000"/>
                <w:spacing w:val="16"/>
                <w:sz w:val="24"/>
                <w:szCs w:val="24"/>
              </w:rPr>
              <w:t>】</w:t>
            </w:r>
          </w:p>
        </w:tc>
        <w:tc>
          <w:tcPr>
            <w:tcW w:w="1414" w:type="dxa"/>
          </w:tcPr>
          <w:p w14:paraId="2F0CE8B2"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7BE74DC8" w14:textId="0DA95B2C" w:rsidR="00BC1EEB"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r w:rsidR="00A61AF2">
              <w:rPr>
                <w:rFonts w:asciiTheme="majorEastAsia" w:eastAsiaTheme="majorEastAsia" w:hAnsiTheme="majorEastAsia" w:hint="eastAsia"/>
                <w:color w:val="000000"/>
                <w:spacing w:val="16"/>
                <w:sz w:val="24"/>
                <w:szCs w:val="24"/>
              </w:rPr>
              <w:t>B</w:t>
            </w:r>
            <w:r>
              <w:rPr>
                <w:rFonts w:asciiTheme="majorEastAsia" w:eastAsiaTheme="majorEastAsia" w:hAnsiTheme="majorEastAsia" w:hint="eastAsia"/>
                <w:color w:val="000000"/>
                <w:spacing w:val="16"/>
                <w:sz w:val="24"/>
                <w:szCs w:val="24"/>
              </w:rPr>
              <w:t>】</w:t>
            </w:r>
          </w:p>
        </w:tc>
        <w:tc>
          <w:tcPr>
            <w:tcW w:w="912" w:type="dxa"/>
          </w:tcPr>
          <w:p w14:paraId="739FFE85" w14:textId="77777777" w:rsidR="00E757D1" w:rsidRDefault="00E757D1"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p>
        </w:tc>
        <w:tc>
          <w:tcPr>
            <w:tcW w:w="1341" w:type="dxa"/>
          </w:tcPr>
          <w:p w14:paraId="7DF0E5FC"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5BF420BC" w14:textId="68C0421B" w:rsidR="00BC1EEB"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r w:rsidR="00A61AF2">
              <w:rPr>
                <w:rFonts w:asciiTheme="majorEastAsia" w:eastAsiaTheme="majorEastAsia" w:hAnsiTheme="majorEastAsia" w:hint="eastAsia"/>
                <w:color w:val="000000"/>
                <w:spacing w:val="16"/>
                <w:sz w:val="24"/>
                <w:szCs w:val="24"/>
              </w:rPr>
              <w:t>a</w:t>
            </w:r>
            <w:r>
              <w:rPr>
                <w:rFonts w:asciiTheme="majorEastAsia" w:eastAsiaTheme="majorEastAsia" w:hAnsiTheme="majorEastAsia" w:hint="eastAsia"/>
                <w:color w:val="000000"/>
                <w:spacing w:val="16"/>
                <w:sz w:val="24"/>
                <w:szCs w:val="24"/>
              </w:rPr>
              <w:t>】</w:t>
            </w:r>
          </w:p>
        </w:tc>
        <w:tc>
          <w:tcPr>
            <w:tcW w:w="1106" w:type="dxa"/>
          </w:tcPr>
          <w:p w14:paraId="1509BB07" w14:textId="77777777" w:rsidR="00E757D1"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円</w:t>
            </w:r>
          </w:p>
          <w:p w14:paraId="3F98C635" w14:textId="4596CBD1" w:rsidR="00BC1EEB" w:rsidRDefault="00BC1EEB"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r>
              <w:rPr>
                <w:rFonts w:asciiTheme="majorEastAsia" w:eastAsiaTheme="majorEastAsia" w:hAnsiTheme="majorEastAsia" w:hint="eastAsia"/>
                <w:color w:val="000000"/>
                <w:spacing w:val="16"/>
                <w:sz w:val="24"/>
                <w:szCs w:val="24"/>
              </w:rPr>
              <w:t>【</w:t>
            </w:r>
            <w:r w:rsidR="00A61AF2">
              <w:rPr>
                <w:rFonts w:asciiTheme="majorEastAsia" w:eastAsiaTheme="majorEastAsia" w:hAnsiTheme="majorEastAsia" w:hint="eastAsia"/>
                <w:color w:val="000000"/>
                <w:spacing w:val="16"/>
                <w:sz w:val="24"/>
                <w:szCs w:val="24"/>
              </w:rPr>
              <w:t>b</w:t>
            </w:r>
            <w:r>
              <w:rPr>
                <w:rFonts w:asciiTheme="majorEastAsia" w:eastAsiaTheme="majorEastAsia" w:hAnsiTheme="majorEastAsia" w:hint="eastAsia"/>
                <w:color w:val="000000"/>
                <w:spacing w:val="16"/>
                <w:sz w:val="24"/>
                <w:szCs w:val="24"/>
              </w:rPr>
              <w:t>】</w:t>
            </w:r>
          </w:p>
        </w:tc>
        <w:tc>
          <w:tcPr>
            <w:tcW w:w="868" w:type="dxa"/>
          </w:tcPr>
          <w:p w14:paraId="62F8A709" w14:textId="77777777" w:rsidR="00E757D1" w:rsidRDefault="00E757D1"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p>
        </w:tc>
        <w:tc>
          <w:tcPr>
            <w:tcW w:w="1072" w:type="dxa"/>
          </w:tcPr>
          <w:p w14:paraId="782CDE8E" w14:textId="77777777" w:rsidR="00E757D1" w:rsidRDefault="00E757D1" w:rsidP="00BC1EEB">
            <w:pPr>
              <w:suppressAutoHyphens/>
              <w:kinsoku w:val="0"/>
              <w:wordWrap w:val="0"/>
              <w:autoSpaceDE w:val="0"/>
              <w:autoSpaceDN w:val="0"/>
              <w:spacing w:line="366" w:lineRule="atLeast"/>
              <w:jc w:val="right"/>
              <w:rPr>
                <w:rFonts w:asciiTheme="majorEastAsia" w:eastAsiaTheme="majorEastAsia" w:hAnsiTheme="majorEastAsia"/>
                <w:color w:val="000000"/>
                <w:spacing w:val="16"/>
                <w:sz w:val="24"/>
                <w:szCs w:val="24"/>
              </w:rPr>
            </w:pPr>
          </w:p>
        </w:tc>
      </w:tr>
    </w:tbl>
    <w:p w14:paraId="573B58A1" w14:textId="77777777" w:rsidR="003953E5" w:rsidRPr="00285101" w:rsidRDefault="003953E5" w:rsidP="003953E5">
      <w:pPr>
        <w:widowControl/>
        <w:jc w:val="left"/>
        <w:rPr>
          <w:rFonts w:asciiTheme="majorEastAsia" w:eastAsiaTheme="majorEastAsia" w:hAnsiTheme="majorEastAsia"/>
          <w:sz w:val="24"/>
          <w:szCs w:val="24"/>
        </w:rPr>
      </w:pPr>
    </w:p>
    <w:p w14:paraId="1AC3F627" w14:textId="236D07CC"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w:t>
      </w:r>
      <w:r w:rsidR="00A61AF2">
        <w:rPr>
          <w:rFonts w:asciiTheme="majorEastAsia" w:eastAsiaTheme="majorEastAsia" w:hAnsiTheme="majorEastAsia" w:hint="eastAsia"/>
          <w:sz w:val="24"/>
          <w:szCs w:val="24"/>
        </w:rPr>
        <w:t>企業全体の原油等の仕入価格、売上原価及び売上高が分かる書類等（例えば、試算表、売上台帳、仕入帳など）の提出が必要。</w:t>
      </w:r>
    </w:p>
    <w:p w14:paraId="03038A63" w14:textId="77777777" w:rsidR="00F14173" w:rsidRDefault="00F14173" w:rsidP="003953E5">
      <w:pPr>
        <w:widowControl/>
        <w:ind w:right="848"/>
        <w:rPr>
          <w:rFonts w:asciiTheme="majorEastAsia" w:eastAsiaTheme="majorEastAsia" w:hAnsiTheme="majorEastAsia"/>
          <w:spacing w:val="16"/>
          <w:sz w:val="24"/>
          <w:szCs w:val="24"/>
        </w:rPr>
      </w:pPr>
    </w:p>
    <w:p w14:paraId="01233967" w14:textId="45BC5CD9" w:rsidR="00F14173" w:rsidRDefault="00F14173"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年　　月　　日</w:t>
      </w:r>
    </w:p>
    <w:p w14:paraId="033EC088" w14:textId="77777777" w:rsidR="00F14173" w:rsidRDefault="00F14173" w:rsidP="003953E5">
      <w:pPr>
        <w:widowControl/>
        <w:ind w:right="848"/>
        <w:rPr>
          <w:rFonts w:asciiTheme="majorEastAsia" w:eastAsiaTheme="majorEastAsia" w:hAnsiTheme="majorEastAsia"/>
          <w:spacing w:val="16"/>
          <w:sz w:val="24"/>
          <w:szCs w:val="24"/>
        </w:rPr>
      </w:pPr>
    </w:p>
    <w:p w14:paraId="00BC61EF" w14:textId="160D2452" w:rsidR="00F14173" w:rsidRDefault="00F14173"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上記につき相違ありません。</w:t>
      </w:r>
    </w:p>
    <w:p w14:paraId="0BC02B4C" w14:textId="77777777" w:rsidR="00F14173" w:rsidRDefault="00F14173" w:rsidP="003953E5">
      <w:pPr>
        <w:widowControl/>
        <w:ind w:right="848"/>
        <w:rPr>
          <w:rFonts w:asciiTheme="majorEastAsia" w:eastAsiaTheme="majorEastAsia" w:hAnsiTheme="majorEastAsia"/>
          <w:spacing w:val="16"/>
          <w:sz w:val="24"/>
          <w:szCs w:val="24"/>
        </w:rPr>
      </w:pPr>
    </w:p>
    <w:p w14:paraId="34F51A80" w14:textId="74EF76D2" w:rsidR="00F14173" w:rsidRPr="00F14173" w:rsidRDefault="00F14173" w:rsidP="00F14173">
      <w:pPr>
        <w:widowControl/>
        <w:ind w:right="-286" w:firstLineChars="1700" w:firstLine="4624"/>
        <w:rPr>
          <w:rFonts w:asciiTheme="majorEastAsia" w:eastAsiaTheme="majorEastAsia" w:hAnsiTheme="majorEastAsia"/>
          <w:spacing w:val="16"/>
          <w:sz w:val="24"/>
          <w:szCs w:val="24"/>
          <w:u w:val="single"/>
        </w:rPr>
      </w:pPr>
      <w:r w:rsidRPr="00F14173">
        <w:rPr>
          <w:rFonts w:asciiTheme="majorEastAsia" w:eastAsiaTheme="majorEastAsia" w:hAnsiTheme="majorEastAsia" w:hint="eastAsia"/>
          <w:spacing w:val="16"/>
          <w:sz w:val="24"/>
          <w:szCs w:val="24"/>
          <w:u w:val="single"/>
        </w:rPr>
        <w:t xml:space="preserve">所在地　　　　　　　　　　　　　　</w:t>
      </w:r>
    </w:p>
    <w:p w14:paraId="15A76380" w14:textId="01382812" w:rsidR="00F14173" w:rsidRPr="00F14173" w:rsidRDefault="00F14173" w:rsidP="00F14173">
      <w:pPr>
        <w:widowControl/>
        <w:ind w:right="-286" w:firstLineChars="1700" w:firstLine="4624"/>
        <w:rPr>
          <w:rFonts w:asciiTheme="majorEastAsia" w:eastAsiaTheme="majorEastAsia" w:hAnsiTheme="majorEastAsia"/>
          <w:spacing w:val="16"/>
          <w:sz w:val="24"/>
          <w:szCs w:val="24"/>
          <w:u w:val="single"/>
          <w:lang w:eastAsia="zh-TW"/>
        </w:rPr>
      </w:pPr>
      <w:r w:rsidRPr="00F14173">
        <w:rPr>
          <w:rFonts w:asciiTheme="majorEastAsia" w:eastAsiaTheme="majorEastAsia" w:hAnsiTheme="majorEastAsia" w:hint="eastAsia"/>
          <w:spacing w:val="16"/>
          <w:sz w:val="24"/>
          <w:szCs w:val="24"/>
          <w:u w:val="single"/>
          <w:lang w:eastAsia="zh-TW"/>
        </w:rPr>
        <w:t xml:space="preserve">企業名　　　　　　　　　　　　　　</w:t>
      </w:r>
    </w:p>
    <w:p w14:paraId="51F6C80E" w14:textId="6A7E1C40" w:rsidR="00F14173" w:rsidRPr="00F14173" w:rsidRDefault="00F14173" w:rsidP="00F14173">
      <w:pPr>
        <w:widowControl/>
        <w:ind w:right="-286" w:firstLineChars="1700" w:firstLine="4624"/>
        <w:rPr>
          <w:rFonts w:asciiTheme="majorEastAsia" w:eastAsiaTheme="majorEastAsia" w:hAnsiTheme="majorEastAsia"/>
          <w:spacing w:val="16"/>
          <w:sz w:val="24"/>
          <w:szCs w:val="24"/>
          <w:u w:val="single"/>
        </w:rPr>
      </w:pPr>
      <w:r w:rsidRPr="00F14173">
        <w:rPr>
          <w:rFonts w:asciiTheme="majorEastAsia" w:eastAsiaTheme="majorEastAsia" w:hAnsiTheme="majorEastAsia" w:hint="eastAsia"/>
          <w:spacing w:val="16"/>
          <w:sz w:val="24"/>
          <w:szCs w:val="24"/>
          <w:u w:val="single"/>
        </w:rPr>
        <w:t>代表者名　　　　　　　　　　　　印</w:t>
      </w:r>
    </w:p>
    <w:p w14:paraId="06CB7EE6" w14:textId="6642BB15" w:rsidR="00F14173" w:rsidRPr="00F14173" w:rsidRDefault="00F14173" w:rsidP="00F14173">
      <w:pPr>
        <w:widowControl/>
        <w:ind w:right="-286" w:firstLineChars="1700" w:firstLine="4624"/>
        <w:rPr>
          <w:rFonts w:asciiTheme="majorEastAsia" w:eastAsiaTheme="majorEastAsia" w:hAnsiTheme="majorEastAsia"/>
          <w:spacing w:val="16"/>
          <w:sz w:val="24"/>
          <w:szCs w:val="24"/>
          <w:u w:val="single"/>
        </w:rPr>
      </w:pPr>
      <w:r w:rsidRPr="00F14173">
        <w:rPr>
          <w:rFonts w:asciiTheme="majorEastAsia" w:eastAsiaTheme="majorEastAsia" w:hAnsiTheme="majorEastAsia" w:hint="eastAsia"/>
          <w:spacing w:val="16"/>
          <w:sz w:val="24"/>
          <w:szCs w:val="24"/>
          <w:u w:val="single"/>
        </w:rPr>
        <w:t xml:space="preserve">TEL 　　　　　　　　　　　　　　　</w:t>
      </w:r>
    </w:p>
    <w:sectPr w:rsidR="00F14173" w:rsidRPr="00F14173" w:rsidSect="00F14173">
      <w:pgSz w:w="11906" w:h="16838"/>
      <w:pgMar w:top="851" w:right="1418" w:bottom="567" w:left="1418" w:header="851"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94E0331"/>
    <w:multiLevelType w:val="hybridMultilevel"/>
    <w:tmpl w:val="7D9C632C"/>
    <w:lvl w:ilvl="0" w:tplc="107E2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567370"/>
    <w:multiLevelType w:val="hybridMultilevel"/>
    <w:tmpl w:val="9BE676A0"/>
    <w:lvl w:ilvl="0" w:tplc="3334CD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F050ED"/>
    <w:multiLevelType w:val="hybridMultilevel"/>
    <w:tmpl w:val="153CF786"/>
    <w:lvl w:ilvl="0" w:tplc="8B6074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C2718AF"/>
    <w:multiLevelType w:val="hybridMultilevel"/>
    <w:tmpl w:val="C4B4E920"/>
    <w:lvl w:ilvl="0" w:tplc="62CE05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E9E025B"/>
    <w:multiLevelType w:val="hybridMultilevel"/>
    <w:tmpl w:val="5C024564"/>
    <w:lvl w:ilvl="0" w:tplc="2A9AB466">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AA7095"/>
    <w:multiLevelType w:val="hybridMultilevel"/>
    <w:tmpl w:val="ACE0939C"/>
    <w:lvl w:ilvl="0" w:tplc="743A60EC">
      <w:start w:val="1"/>
      <w:numFmt w:val="decimalFullWidth"/>
      <w:lvlText w:val="（注%1）"/>
      <w:lvlJc w:val="left"/>
      <w:pPr>
        <w:ind w:left="1080" w:hanging="1080"/>
      </w:pPr>
      <w:rPr>
        <w:rFonts w:hint="default"/>
      </w:rPr>
    </w:lvl>
    <w:lvl w:ilvl="1" w:tplc="37A4D9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4901017">
    <w:abstractNumId w:val="0"/>
  </w:num>
  <w:num w:numId="2" w16cid:durableId="1656445748">
    <w:abstractNumId w:val="4"/>
  </w:num>
  <w:num w:numId="3" w16cid:durableId="1255505848">
    <w:abstractNumId w:val="5"/>
  </w:num>
  <w:num w:numId="4" w16cid:durableId="1317144235">
    <w:abstractNumId w:val="1"/>
  </w:num>
  <w:num w:numId="5" w16cid:durableId="1333682319">
    <w:abstractNumId w:val="2"/>
  </w:num>
  <w:num w:numId="6" w16cid:durableId="1802336836">
    <w:abstractNumId w:val="3"/>
  </w:num>
  <w:num w:numId="7" w16cid:durableId="1422486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0E3ACA"/>
    <w:rsid w:val="001175BB"/>
    <w:rsid w:val="001258CA"/>
    <w:rsid w:val="001B4CF7"/>
    <w:rsid w:val="002766CF"/>
    <w:rsid w:val="00285101"/>
    <w:rsid w:val="002B77CD"/>
    <w:rsid w:val="002E5377"/>
    <w:rsid w:val="003121A0"/>
    <w:rsid w:val="0031294D"/>
    <w:rsid w:val="00335ACF"/>
    <w:rsid w:val="00336DB2"/>
    <w:rsid w:val="003953E5"/>
    <w:rsid w:val="0040417F"/>
    <w:rsid w:val="00417A24"/>
    <w:rsid w:val="00435676"/>
    <w:rsid w:val="004F1878"/>
    <w:rsid w:val="005061E0"/>
    <w:rsid w:val="00574C50"/>
    <w:rsid w:val="00576E14"/>
    <w:rsid w:val="005A0DD3"/>
    <w:rsid w:val="005B0924"/>
    <w:rsid w:val="006043DA"/>
    <w:rsid w:val="00656801"/>
    <w:rsid w:val="00683219"/>
    <w:rsid w:val="007314D8"/>
    <w:rsid w:val="0073376F"/>
    <w:rsid w:val="00733C06"/>
    <w:rsid w:val="0077054F"/>
    <w:rsid w:val="007B413D"/>
    <w:rsid w:val="00802906"/>
    <w:rsid w:val="00844E51"/>
    <w:rsid w:val="008504B2"/>
    <w:rsid w:val="00907728"/>
    <w:rsid w:val="009B720F"/>
    <w:rsid w:val="00A61AF2"/>
    <w:rsid w:val="00AC7EB5"/>
    <w:rsid w:val="00B6323F"/>
    <w:rsid w:val="00B76AB6"/>
    <w:rsid w:val="00BC1EEB"/>
    <w:rsid w:val="00BE5499"/>
    <w:rsid w:val="00C16833"/>
    <w:rsid w:val="00CB0216"/>
    <w:rsid w:val="00D00A71"/>
    <w:rsid w:val="00D25382"/>
    <w:rsid w:val="00D90434"/>
    <w:rsid w:val="00E06C08"/>
    <w:rsid w:val="00E757D1"/>
    <w:rsid w:val="00ED4963"/>
    <w:rsid w:val="00EF7BB4"/>
    <w:rsid w:val="00F14173"/>
    <w:rsid w:val="00F1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368</Words>
  <Characters>2102</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